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890A45">
      <w:pPr>
        <w:jc w:val="center"/>
        <w:rPr>
          <w:b/>
          <w:bCs/>
          <w:sz w:val="30"/>
          <w:szCs w:val="30"/>
        </w:rPr>
      </w:pPr>
      <w:bookmarkStart w:id="16" w:name="_GoBack"/>
      <w:bookmarkEnd w:id="16"/>
      <w:r>
        <w:rPr>
          <w:rFonts w:hint="eastAsia"/>
          <w:b/>
          <w:bCs/>
          <w:sz w:val="30"/>
          <w:szCs w:val="30"/>
        </w:rPr>
        <w:t>材料备选品牌及技术参数一览表</w:t>
      </w:r>
    </w:p>
    <w:p w14:paraId="1F5BD1A2">
      <w:r>
        <w:rPr>
          <w:rFonts w:hint="eastAsia"/>
        </w:rPr>
        <w:t>一、建筑部分：</w:t>
      </w:r>
    </w:p>
    <w:tbl>
      <w:tblPr>
        <w:tblStyle w:val="12"/>
        <w:tblW w:w="10842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5"/>
        <w:gridCol w:w="2364"/>
        <w:gridCol w:w="1920"/>
        <w:gridCol w:w="6043"/>
      </w:tblGrid>
      <w:tr w14:paraId="4726246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atLeast"/>
          <w:jc w:val="center"/>
        </w:trPr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0860227">
            <w:pPr>
              <w:jc w:val="center"/>
            </w:pPr>
            <w:bookmarkStart w:id="0" w:name="OLE_LINK1"/>
            <w:bookmarkStart w:id="1" w:name="OLE_LINK2"/>
            <w:r>
              <w:rPr>
                <w:rFonts w:hint="eastAsia"/>
              </w:rPr>
              <w:t>序号</w:t>
            </w:r>
            <w:bookmarkEnd w:id="0"/>
            <w:bookmarkEnd w:id="1"/>
          </w:p>
        </w:tc>
        <w:tc>
          <w:tcPr>
            <w:tcW w:w="2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00D64E3">
            <w:pPr>
              <w:jc w:val="center"/>
            </w:pPr>
            <w:r>
              <w:rPr>
                <w:rFonts w:hint="eastAsia"/>
              </w:rPr>
              <w:t>材料名称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CE446B0">
            <w:pPr>
              <w:jc w:val="center"/>
            </w:pPr>
            <w:r>
              <w:rPr>
                <w:rFonts w:hint="eastAsia"/>
              </w:rPr>
              <w:t>推荐品牌</w:t>
            </w:r>
          </w:p>
        </w:tc>
        <w:tc>
          <w:tcPr>
            <w:tcW w:w="6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C7888D5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59D61AF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  <w:jc w:val="center"/>
        </w:trPr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D4E5E47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28396BE">
            <w:r>
              <w:rPr>
                <w:rFonts w:hint="eastAsia"/>
              </w:rPr>
              <w:t>水泥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D3AE5C4">
            <w:r>
              <w:rPr>
                <w:rFonts w:hint="eastAsia"/>
              </w:rPr>
              <w:t>尖峰、金元、红狮</w:t>
            </w:r>
          </w:p>
        </w:tc>
        <w:tc>
          <w:tcPr>
            <w:tcW w:w="6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78D7BE1">
            <w:r>
              <w:rPr>
                <w:rFonts w:hint="eastAsia"/>
              </w:rPr>
              <w:t>易返碱部位采用粉煤灰或矿粉水泥。</w:t>
            </w:r>
          </w:p>
        </w:tc>
      </w:tr>
      <w:tr w14:paraId="60333A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  <w:jc w:val="center"/>
        </w:trPr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5D5405D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112DFF6">
            <w:r>
              <w:rPr>
                <w:rFonts w:hint="eastAsia"/>
              </w:rPr>
              <w:t>油漆、涂料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C26D8B4">
            <w:r>
              <w:rPr>
                <w:rFonts w:hint="eastAsia"/>
              </w:rPr>
              <w:t>铃鹿、大师、华润、多乐士</w:t>
            </w:r>
          </w:p>
        </w:tc>
        <w:tc>
          <w:tcPr>
            <w:tcW w:w="6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954404A">
            <w:r>
              <w:rPr>
                <w:rFonts w:hint="eastAsia"/>
              </w:rPr>
              <w:t>无机涂料、防腐涂料等；含底涂、面漆。</w:t>
            </w:r>
          </w:p>
        </w:tc>
      </w:tr>
      <w:tr w14:paraId="47ACCA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  <w:jc w:val="center"/>
        </w:trPr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86AC92A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3B40E27">
            <w:bookmarkStart w:id="2" w:name="OLE_LINK6"/>
            <w:bookmarkStart w:id="3" w:name="OLE_LINK8"/>
            <w:bookmarkStart w:id="4" w:name="OLE_LINK7"/>
            <w:r>
              <w:rPr>
                <w:rFonts w:hint="eastAsia"/>
              </w:rPr>
              <w:t>丙烯酸</w:t>
            </w:r>
            <w:bookmarkEnd w:id="2"/>
            <w:r>
              <w:rPr>
                <w:rFonts w:hint="eastAsia"/>
              </w:rPr>
              <w:t>面层</w:t>
            </w:r>
            <w:bookmarkEnd w:id="3"/>
            <w:bookmarkEnd w:id="4"/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D8FA2FE">
            <w:r>
              <w:rPr>
                <w:rFonts w:hint="eastAsia"/>
              </w:rPr>
              <w:t>明体</w:t>
            </w:r>
          </w:p>
          <w:p w14:paraId="1A6CC64A">
            <w:r>
              <w:rPr>
                <w:rFonts w:hint="eastAsia"/>
              </w:rPr>
              <w:t>宜邦丽</w:t>
            </w:r>
          </w:p>
          <w:p w14:paraId="59FFBA75">
            <w:r>
              <w:rPr>
                <w:rFonts w:hint="eastAsia"/>
              </w:rPr>
              <w:t>卫星化学</w:t>
            </w:r>
          </w:p>
          <w:p w14:paraId="42A0EF79">
            <w:r>
              <w:rPr>
                <w:rFonts w:hint="eastAsia"/>
              </w:rPr>
              <w:t>日科化学</w:t>
            </w:r>
          </w:p>
        </w:tc>
        <w:tc>
          <w:tcPr>
            <w:tcW w:w="6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30FCE0C">
            <w:r>
              <w:rPr>
                <w:rFonts w:hint="eastAsia"/>
              </w:rPr>
              <w:t>1. “明体”为“</w:t>
            </w:r>
            <w:r>
              <w:fldChar w:fldCharType="begin"/>
            </w:r>
            <w:r>
              <w:instrText xml:space="preserve"> HYPERLINK "http://zsva.org/yxhyxqy?article_id=436" \o "浙江明体新材料科技有限公司" </w:instrText>
            </w:r>
            <w:r>
              <w:fldChar w:fldCharType="separate"/>
            </w:r>
            <w:r>
              <w:t>浙江明体新材料科技有限公司</w:t>
            </w:r>
            <w:r>
              <w:fldChar w:fldCharType="end"/>
            </w:r>
            <w:r>
              <w:rPr>
                <w:rFonts w:hint="eastAsia"/>
              </w:rPr>
              <w:t>”品牌</w:t>
            </w:r>
            <w:r>
              <w:t>。</w:t>
            </w:r>
          </w:p>
          <w:p w14:paraId="00607B14">
            <w:r>
              <w:rPr>
                <w:rFonts w:hint="eastAsia"/>
              </w:rPr>
              <w:t>2. “宜邦丽”为“上海宜邦丽新材料有限公司”品牌。</w:t>
            </w:r>
          </w:p>
          <w:p w14:paraId="105E6424">
            <w:r>
              <w:rPr>
                <w:rFonts w:hint="eastAsia"/>
              </w:rPr>
              <w:t>3. “卫星化学”为“卫星化学股份有限公司”品牌。</w:t>
            </w:r>
          </w:p>
          <w:p w14:paraId="10348390">
            <w:r>
              <w:rPr>
                <w:rFonts w:hint="eastAsia"/>
              </w:rPr>
              <w:t>4. “日科化学”为“山东日科化学股份有限公司”品牌。</w:t>
            </w:r>
          </w:p>
          <w:p w14:paraId="49A7DBEC">
            <w:pPr>
              <w:rPr>
                <w:rFonts w:ascii="Arial" w:hAnsi="Arial" w:cs="Arial"/>
                <w:b/>
                <w:bCs/>
                <w:color w:val="FF0000"/>
                <w:sz w:val="24"/>
              </w:rPr>
            </w:pPr>
            <w:bookmarkStart w:id="5" w:name="OLE_LINK3"/>
            <w:r>
              <w:rPr>
                <w:rFonts w:hint="eastAsia"/>
              </w:rPr>
              <w:t>丙烯酸原材料符合国家GB36246</w:t>
            </w:r>
            <w:r>
              <w:t>-</w:t>
            </w:r>
            <w:r>
              <w:rPr>
                <w:rFonts w:hint="eastAsia"/>
              </w:rPr>
              <w:t>2018标准，产品达到GB36246</w:t>
            </w:r>
            <w:r>
              <w:t>-</w:t>
            </w:r>
            <w:r>
              <w:rPr>
                <w:rFonts w:hint="eastAsia"/>
              </w:rPr>
              <w:t>2018或GB/T14833-2020检测要求，产品必须取样送检。</w:t>
            </w:r>
            <w:bookmarkEnd w:id="5"/>
          </w:p>
        </w:tc>
      </w:tr>
      <w:tr w14:paraId="69AA61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  <w:jc w:val="center"/>
        </w:trPr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ACE492D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6DA21C1">
            <w:bookmarkStart w:id="6" w:name="OLE_LINK9"/>
            <w:bookmarkStart w:id="7" w:name="OLE_LINK10"/>
            <w:r>
              <w:rPr>
                <w:rFonts w:hint="eastAsia"/>
              </w:rPr>
              <w:t>人造草坪</w:t>
            </w:r>
            <w:bookmarkEnd w:id="6"/>
            <w:bookmarkEnd w:id="7"/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94DE438">
            <w:r>
              <w:rPr>
                <w:rFonts w:hint="eastAsia"/>
              </w:rPr>
              <w:t>共创</w:t>
            </w:r>
          </w:p>
          <w:p w14:paraId="1C3922E5">
            <w:r>
              <w:rPr>
                <w:rFonts w:hint="eastAsia"/>
              </w:rPr>
              <w:t>泰山</w:t>
            </w:r>
          </w:p>
          <w:p w14:paraId="56FC69E8">
            <w:r>
              <w:rPr>
                <w:rFonts w:hint="eastAsia"/>
              </w:rPr>
              <w:t>火炬</w:t>
            </w:r>
          </w:p>
        </w:tc>
        <w:tc>
          <w:tcPr>
            <w:tcW w:w="6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C77C465">
            <w:r>
              <w:rPr>
                <w:rFonts w:hint="eastAsia"/>
              </w:rPr>
              <w:t>1.“共创”为“江苏共创人造草坪股份有限公司”品牌。</w:t>
            </w:r>
          </w:p>
          <w:p w14:paraId="09B62BBD">
            <w:r>
              <w:rPr>
                <w:rFonts w:hint="eastAsia"/>
              </w:rPr>
              <w:t>2.“泰山”为“泰山体育产业集团有限公司”品牌。</w:t>
            </w:r>
          </w:p>
          <w:p w14:paraId="2CB8AB5B">
            <w:r>
              <w:rPr>
                <w:rFonts w:hint="eastAsia"/>
              </w:rPr>
              <w:t>3.“火炬”为“北京火炬生地人造草坪有限公司”品牌。</w:t>
            </w:r>
          </w:p>
          <w:p w14:paraId="439296A7">
            <w:pPr>
              <w:rPr>
                <w:rFonts w:ascii="华文楷体" w:hAnsi="华文楷体" w:eastAsia="华文楷体"/>
                <w:b/>
                <w:bCs/>
                <w:sz w:val="24"/>
              </w:rPr>
            </w:pPr>
            <w:r>
              <w:rPr>
                <w:rFonts w:hint="eastAsia"/>
              </w:rPr>
              <w:t>人造草坪产品及面层符合</w:t>
            </w:r>
            <w:r>
              <w:t>GB36246-2018，GB/T43566-2023标准。</w:t>
            </w:r>
          </w:p>
        </w:tc>
      </w:tr>
      <w:tr w14:paraId="5F464D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  <w:jc w:val="center"/>
        </w:trPr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862CE1D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18A08E7">
            <w:r>
              <w:rPr>
                <w:rFonts w:hint="eastAsia"/>
              </w:rPr>
              <w:t>匹克球网架</w:t>
            </w:r>
          </w:p>
          <w:p w14:paraId="77843BA3">
            <w:r>
              <w:rPr>
                <w:rFonts w:hint="eastAsia"/>
              </w:rPr>
              <w:t>（铝合金或304不锈钢插地款）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6F0E57C">
            <w:r>
              <w:rPr>
                <w:rFonts w:hint="eastAsia"/>
              </w:rPr>
              <w:t>恰好时</w:t>
            </w:r>
          </w:p>
          <w:p w14:paraId="02A096E6">
            <w:r>
              <w:rPr>
                <w:rFonts w:hint="eastAsia"/>
              </w:rPr>
              <w:t>健伦</w:t>
            </w:r>
          </w:p>
          <w:p w14:paraId="65C9A8A7">
            <w:r>
              <w:rPr>
                <w:rFonts w:hint="eastAsia"/>
              </w:rPr>
              <w:t>吉诺尔</w:t>
            </w:r>
          </w:p>
        </w:tc>
        <w:tc>
          <w:tcPr>
            <w:tcW w:w="6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4580A3B">
            <w:r>
              <w:t>1</w:t>
            </w:r>
            <w:r>
              <w:rPr>
                <w:rFonts w:hint="eastAsia"/>
              </w:rPr>
              <w:t>.“恰好时”为“广东恰好时体育有限公司”品牌。</w:t>
            </w:r>
          </w:p>
          <w:p w14:paraId="408D31B4">
            <w:r>
              <w:t>2</w:t>
            </w:r>
            <w:r>
              <w:rPr>
                <w:rFonts w:hint="eastAsia"/>
              </w:rPr>
              <w:t>.“健伦”为“</w:t>
            </w:r>
            <w:r>
              <w:t>广东健伦体育发展有限公司</w:t>
            </w:r>
            <w:r>
              <w:rPr>
                <w:rFonts w:hint="eastAsia"/>
              </w:rPr>
              <w:t>”品牌。</w:t>
            </w:r>
          </w:p>
          <w:p w14:paraId="03B8B00B">
            <w:r>
              <w:rPr>
                <w:rFonts w:hint="eastAsia"/>
              </w:rPr>
              <w:t>3.“</w:t>
            </w:r>
            <w:bookmarkStart w:id="8" w:name="OLE_LINK16"/>
            <w:bookmarkStart w:id="9" w:name="OLE_LINK15"/>
            <w:r>
              <w:rPr>
                <w:rFonts w:hint="eastAsia"/>
              </w:rPr>
              <w:t>吉诺尔</w:t>
            </w:r>
            <w:bookmarkEnd w:id="8"/>
            <w:bookmarkEnd w:id="9"/>
            <w:r>
              <w:rPr>
                <w:rFonts w:hint="eastAsia"/>
              </w:rPr>
              <w:t>”为“山东吉诺尔体育器材有限公司”品牌。</w:t>
            </w:r>
          </w:p>
        </w:tc>
      </w:tr>
      <w:tr w14:paraId="5C1B332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  <w:jc w:val="center"/>
        </w:trPr>
        <w:tc>
          <w:tcPr>
            <w:tcW w:w="5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7243121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2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27D8F8A">
            <w:bookmarkStart w:id="10" w:name="OLE_LINK17"/>
            <w:bookmarkStart w:id="11" w:name="OLE_LINK18"/>
            <w:r>
              <w:t>围网</w:t>
            </w:r>
            <w:bookmarkEnd w:id="10"/>
            <w:bookmarkEnd w:id="11"/>
            <w:r>
              <w:t>、门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5F85EBA">
            <w:r>
              <w:rPr>
                <w:rFonts w:hint="eastAsia"/>
              </w:rPr>
              <w:t>恰好时</w:t>
            </w:r>
          </w:p>
          <w:p w14:paraId="7456C4E2">
            <w:r>
              <w:rPr>
                <w:rFonts w:hint="eastAsia"/>
              </w:rPr>
              <w:t>飞泽体育</w:t>
            </w:r>
          </w:p>
          <w:p w14:paraId="3FCBFE99">
            <w:r>
              <w:rPr>
                <w:rFonts w:hint="eastAsia"/>
              </w:rPr>
              <w:t>时迈体育</w:t>
            </w:r>
          </w:p>
          <w:p w14:paraId="0FF30E06">
            <w:r>
              <w:rPr>
                <w:rFonts w:hint="eastAsia"/>
              </w:rPr>
              <w:t>銲马</w:t>
            </w:r>
          </w:p>
        </w:tc>
        <w:tc>
          <w:tcPr>
            <w:tcW w:w="6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A6DB8DE">
            <w:r>
              <w:rPr>
                <w:rFonts w:hint="eastAsia"/>
              </w:rPr>
              <w:t>1.</w:t>
            </w:r>
            <w:r>
              <w:t xml:space="preserve"> </w:t>
            </w:r>
            <w:bookmarkStart w:id="12" w:name="OLE_LINK5"/>
            <w:r>
              <w:t>“</w:t>
            </w:r>
            <w:r>
              <w:rPr>
                <w:rFonts w:hint="eastAsia"/>
              </w:rPr>
              <w:t>恰好时”为“</w:t>
            </w:r>
            <w:r>
              <w:t>广东恰好时体育有限公司</w:t>
            </w:r>
            <w:r>
              <w:rPr>
                <w:rFonts w:hint="eastAsia"/>
              </w:rPr>
              <w:t>”</w:t>
            </w:r>
            <w:r>
              <w:t>品牌。</w:t>
            </w:r>
            <w:bookmarkEnd w:id="12"/>
          </w:p>
          <w:p w14:paraId="5E5A21CB">
            <w:r>
              <w:rPr>
                <w:rFonts w:hint="eastAsia"/>
              </w:rPr>
              <w:t>2.</w:t>
            </w:r>
            <w:r>
              <w:t xml:space="preserve"> “</w:t>
            </w:r>
            <w:r>
              <w:rPr>
                <w:rFonts w:hint="eastAsia"/>
              </w:rPr>
              <w:t>飞泽体育”为“青岛飞泽体育设施有限公司”品牌。</w:t>
            </w:r>
          </w:p>
          <w:p w14:paraId="42CF6068">
            <w:r>
              <w:rPr>
                <w:rFonts w:hint="eastAsia"/>
              </w:rPr>
              <w:t>3.</w:t>
            </w:r>
            <w:r>
              <w:t xml:space="preserve"> “</w:t>
            </w:r>
            <w:r>
              <w:rPr>
                <w:rFonts w:hint="eastAsia"/>
              </w:rPr>
              <w:t>时迈体育”为“</w:t>
            </w:r>
            <w:r>
              <w:t>深圳市时迈体育设施有限公司</w:t>
            </w:r>
            <w:r>
              <w:rPr>
                <w:rFonts w:hint="eastAsia"/>
              </w:rPr>
              <w:t>”品牌</w:t>
            </w:r>
            <w:r>
              <w:t>。</w:t>
            </w:r>
          </w:p>
          <w:p w14:paraId="28B252B2">
            <w:r>
              <w:rPr>
                <w:rFonts w:hint="eastAsia"/>
              </w:rPr>
              <w:t xml:space="preserve">4. </w:t>
            </w:r>
            <w:r>
              <w:t>“</w:t>
            </w:r>
            <w:r>
              <w:rPr>
                <w:rFonts w:hint="eastAsia"/>
              </w:rPr>
              <w:t>銲马”为“广东銲马体育器材有限公司”品牌。</w:t>
            </w:r>
          </w:p>
        </w:tc>
      </w:tr>
    </w:tbl>
    <w:p w14:paraId="1A85693C">
      <w:r>
        <w:rPr>
          <w:rFonts w:hint="eastAsia"/>
        </w:rPr>
        <w:t>二、安装部分：</w:t>
      </w:r>
    </w:p>
    <w:tbl>
      <w:tblPr>
        <w:tblStyle w:val="12"/>
        <w:tblW w:w="108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5"/>
        <w:gridCol w:w="2364"/>
        <w:gridCol w:w="1920"/>
        <w:gridCol w:w="6043"/>
      </w:tblGrid>
      <w:tr w14:paraId="032578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atLeast"/>
          <w:jc w:val="center"/>
        </w:trPr>
        <w:tc>
          <w:tcPr>
            <w:tcW w:w="515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B22DA06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364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312C6A2">
            <w:pPr>
              <w:jc w:val="center"/>
            </w:pPr>
            <w:r>
              <w:rPr>
                <w:rFonts w:hint="eastAsia"/>
              </w:rPr>
              <w:t>材料名称</w:t>
            </w:r>
          </w:p>
        </w:tc>
        <w:tc>
          <w:tcPr>
            <w:tcW w:w="192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25B265F">
            <w:pPr>
              <w:jc w:val="center"/>
            </w:pPr>
            <w:r>
              <w:rPr>
                <w:rFonts w:hint="eastAsia"/>
              </w:rPr>
              <w:t>推荐品牌</w:t>
            </w:r>
          </w:p>
        </w:tc>
        <w:tc>
          <w:tcPr>
            <w:tcW w:w="6043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DDBC51B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5F6D3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51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84CD21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364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34BE5CCF">
            <w:r>
              <w:rPr>
                <w:rFonts w:hint="eastAsia"/>
              </w:rPr>
              <w:t>非金属管材</w:t>
            </w:r>
          </w:p>
          <w:p w14:paraId="05FB384F">
            <w:r>
              <w:rPr>
                <w:rFonts w:hint="eastAsia"/>
              </w:rPr>
              <w:t>（</w:t>
            </w:r>
            <w:r>
              <w:t>PVC</w:t>
            </w:r>
            <w:r>
              <w:rPr>
                <w:rFonts w:hint="eastAsia"/>
              </w:rPr>
              <w:t>、</w:t>
            </w:r>
            <w:r>
              <w:t>PPR</w:t>
            </w:r>
            <w:r>
              <w:rPr>
                <w:rFonts w:hint="eastAsia"/>
              </w:rPr>
              <w:t>、</w:t>
            </w:r>
            <w:r>
              <w:t>PE</w:t>
            </w:r>
            <w:r>
              <w:rPr>
                <w:rFonts w:hint="eastAsia"/>
              </w:rPr>
              <w:t>）</w:t>
            </w:r>
          </w:p>
        </w:tc>
        <w:tc>
          <w:tcPr>
            <w:tcW w:w="192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11ABF0A4">
            <w:r>
              <w:rPr>
                <w:rFonts w:hint="eastAsia"/>
              </w:rPr>
              <w:t>中财、伟星、联塑</w:t>
            </w:r>
          </w:p>
        </w:tc>
        <w:tc>
          <w:tcPr>
            <w:tcW w:w="6043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0C3B7110">
            <w:r>
              <w:rPr>
                <w:rFonts w:hint="eastAsia"/>
              </w:rPr>
              <w:t>包括：电线管、给水管、排水管、消防用给水管；每种管材与管件采用同品牌产品；符合国家标准要求；满足使用功能要求。</w:t>
            </w:r>
          </w:p>
        </w:tc>
      </w:tr>
      <w:tr w14:paraId="3A26F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51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DB459C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364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490A6EA7">
            <w:r>
              <w:t>HDPE</w:t>
            </w:r>
            <w:r>
              <w:rPr>
                <w:rFonts w:hint="eastAsia"/>
              </w:rPr>
              <w:t>双壁波纹管</w:t>
            </w:r>
          </w:p>
        </w:tc>
        <w:tc>
          <w:tcPr>
            <w:tcW w:w="192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043D59C">
            <w:r>
              <w:rPr>
                <w:rFonts w:hint="eastAsia"/>
              </w:rPr>
              <w:t>中财、联塑、公元</w:t>
            </w:r>
          </w:p>
        </w:tc>
        <w:tc>
          <w:tcPr>
            <w:tcW w:w="6043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5668C74">
            <w:r>
              <w:rPr>
                <w:rFonts w:hint="eastAsia"/>
              </w:rPr>
              <w:t>环刚度</w:t>
            </w:r>
            <w:r>
              <w:t>8</w:t>
            </w:r>
            <w:r>
              <w:rPr>
                <w:rFonts w:hint="eastAsia"/>
              </w:rPr>
              <w:t>级；管材与管件采用同品牌产品。符合国家标准要求。满足使用功能要求。</w:t>
            </w:r>
          </w:p>
        </w:tc>
      </w:tr>
      <w:tr w14:paraId="32899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51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A839B6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364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44BAA467">
            <w:r>
              <w:rPr>
                <w:rFonts w:hint="eastAsia"/>
              </w:rPr>
              <w:t>热镀锌钢管</w:t>
            </w:r>
          </w:p>
          <w:p w14:paraId="4741E07B">
            <w:r>
              <w:rPr>
                <w:rFonts w:hint="eastAsia"/>
              </w:rPr>
              <w:t>衬塑热镀锌钢管</w:t>
            </w:r>
          </w:p>
        </w:tc>
        <w:tc>
          <w:tcPr>
            <w:tcW w:w="192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54D9916">
            <w:r>
              <w:rPr>
                <w:rFonts w:hint="eastAsia"/>
              </w:rPr>
              <w:t>金洲、增洲、友发</w:t>
            </w:r>
          </w:p>
        </w:tc>
        <w:tc>
          <w:tcPr>
            <w:tcW w:w="6043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CF6C8FE">
            <w:r>
              <w:rPr>
                <w:rFonts w:hint="eastAsia"/>
              </w:rPr>
              <w:t>符合国家标准要求。</w:t>
            </w:r>
          </w:p>
        </w:tc>
      </w:tr>
      <w:tr w14:paraId="52B34B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51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63AC72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364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01DB8016">
            <w:r>
              <w:rPr>
                <w:rStyle w:val="17"/>
                <w:color w:val="auto"/>
              </w:rPr>
              <w:t>J</w:t>
            </w:r>
            <w:r>
              <w:rPr>
                <w:rStyle w:val="18"/>
                <w:color w:val="auto"/>
              </w:rPr>
              <w:t>DG</w:t>
            </w:r>
            <w:r>
              <w:rPr>
                <w:rStyle w:val="18"/>
                <w:rFonts w:hint="eastAsia"/>
                <w:color w:val="auto"/>
              </w:rPr>
              <w:t>镀锌电线套管</w:t>
            </w:r>
          </w:p>
        </w:tc>
        <w:tc>
          <w:tcPr>
            <w:tcW w:w="192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CCD8A55">
            <w:r>
              <w:rPr>
                <w:rFonts w:hint="eastAsia"/>
              </w:rPr>
              <w:t>宏发、泰瑞安、好远、清川、华岐</w:t>
            </w:r>
          </w:p>
        </w:tc>
        <w:tc>
          <w:tcPr>
            <w:tcW w:w="6043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5440BD84">
            <w:r>
              <w:rPr>
                <w:rFonts w:hint="eastAsia"/>
              </w:rPr>
              <w:t>符合国家标准要求。</w:t>
            </w:r>
          </w:p>
        </w:tc>
      </w:tr>
      <w:tr w14:paraId="6CEA2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51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5A5EA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364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7CEDA09A">
            <w:r>
              <w:rPr>
                <w:rFonts w:hint="eastAsia"/>
              </w:rPr>
              <w:t>电线、电缆</w:t>
            </w:r>
          </w:p>
        </w:tc>
        <w:tc>
          <w:tcPr>
            <w:tcW w:w="192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3372AC8">
            <w:r>
              <w:rPr>
                <w:rFonts w:hint="eastAsia"/>
              </w:rPr>
              <w:t>上上、开开、蓝天、六环、威尔鹰</w:t>
            </w:r>
          </w:p>
        </w:tc>
        <w:tc>
          <w:tcPr>
            <w:tcW w:w="6043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67117CB">
            <w:r>
              <w:t>1</w:t>
            </w:r>
            <w:r>
              <w:rPr>
                <w:rFonts w:hint="eastAsia"/>
              </w:rPr>
              <w:t>、“上上”为“江苏上上电缆集团”品牌。</w:t>
            </w:r>
          </w:p>
          <w:p w14:paraId="2BAA981F">
            <w:r>
              <w:t>2</w:t>
            </w:r>
            <w:r>
              <w:rPr>
                <w:rFonts w:hint="eastAsia"/>
              </w:rPr>
              <w:t>、“开开”为“开开电缆科技有限公司”品牌。</w:t>
            </w:r>
          </w:p>
          <w:p w14:paraId="4A9A9AC7">
            <w:r>
              <w:t>3</w:t>
            </w:r>
            <w:r>
              <w:rPr>
                <w:rFonts w:hint="eastAsia"/>
              </w:rPr>
              <w:t>、“蓝天”为“浙江蓝天电缆有限公司”品牌。</w:t>
            </w:r>
          </w:p>
          <w:p w14:paraId="37F1FE01">
            <w:r>
              <w:t>4</w:t>
            </w:r>
            <w:r>
              <w:rPr>
                <w:rFonts w:hint="eastAsia"/>
              </w:rPr>
              <w:t>、“六环”为“浙江六环电缆科技股份有限公司”品牌。</w:t>
            </w:r>
          </w:p>
          <w:p w14:paraId="2830A301">
            <w:r>
              <w:rPr>
                <w:rFonts w:hint="eastAsia"/>
              </w:rPr>
              <w:t>5、“威尔鹰”为“浙江威尔鹰新材料线缆有限公司”品牌。</w:t>
            </w:r>
          </w:p>
        </w:tc>
      </w:tr>
      <w:tr w14:paraId="18E09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  <w:jc w:val="center"/>
        </w:trPr>
        <w:tc>
          <w:tcPr>
            <w:tcW w:w="51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FEB276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2364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5F113F98">
            <w:r>
              <w:rPr>
                <w:rFonts w:hint="eastAsia"/>
              </w:rPr>
              <w:t>配电箱内主要电气元件</w:t>
            </w:r>
          </w:p>
        </w:tc>
        <w:tc>
          <w:tcPr>
            <w:tcW w:w="192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3C18542">
            <w:pPr>
              <w:rPr>
                <w:highlight w:val="green"/>
              </w:rPr>
            </w:pPr>
            <w:r>
              <w:rPr>
                <w:rFonts w:hint="eastAsia"/>
              </w:rPr>
              <w:t>施耐德、</w:t>
            </w:r>
            <w:r>
              <w:t>ABB</w:t>
            </w:r>
            <w:r>
              <w:rPr>
                <w:rFonts w:hint="eastAsia"/>
              </w:rPr>
              <w:t>、西门子</w:t>
            </w:r>
          </w:p>
        </w:tc>
        <w:tc>
          <w:tcPr>
            <w:tcW w:w="6043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2222030E">
            <w:r>
              <w:rPr>
                <w:rFonts w:hint="eastAsia"/>
              </w:rPr>
              <w:t>1.“施耐德”为“施耐德电气（中国）有限公司”品牌。</w:t>
            </w:r>
          </w:p>
          <w:p w14:paraId="0DDBEDE8">
            <w:r>
              <w:rPr>
                <w:rFonts w:hint="eastAsia"/>
              </w:rPr>
              <w:t>2.“</w:t>
            </w:r>
            <w:r>
              <w:t>ABB</w:t>
            </w:r>
            <w:r>
              <w:rPr>
                <w:rFonts w:hint="eastAsia"/>
              </w:rPr>
              <w:t>”为“</w:t>
            </w:r>
            <w:r>
              <w:t>ABB</w:t>
            </w:r>
            <w:r>
              <w:rPr>
                <w:rFonts w:hint="eastAsia"/>
              </w:rPr>
              <w:t>（中国）有限公司”品牌。</w:t>
            </w:r>
          </w:p>
          <w:p w14:paraId="49428B23">
            <w:r>
              <w:rPr>
                <w:rFonts w:hint="eastAsia"/>
              </w:rPr>
              <w:t>3.“西门子”为“西门子（中国）有限公司”品牌。</w:t>
            </w:r>
          </w:p>
        </w:tc>
      </w:tr>
      <w:tr w14:paraId="3D79F3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0" w:hRule="atLeast"/>
          <w:jc w:val="center"/>
        </w:trPr>
        <w:tc>
          <w:tcPr>
            <w:tcW w:w="515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14696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2364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14:paraId="361C202F">
            <w:r>
              <w:rPr>
                <w:rFonts w:hint="eastAsia"/>
              </w:rPr>
              <w:t>室外球场照明灯具</w:t>
            </w:r>
          </w:p>
        </w:tc>
        <w:tc>
          <w:tcPr>
            <w:tcW w:w="1920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4FEC1866">
            <w:r>
              <w:rPr>
                <w:rFonts w:hint="eastAsia"/>
              </w:rPr>
              <w:t>飞利浦</w:t>
            </w:r>
          </w:p>
          <w:p w14:paraId="48DF3170">
            <w:r>
              <w:rPr>
                <w:rFonts w:hint="eastAsia"/>
              </w:rPr>
              <w:t>赛倍明</w:t>
            </w:r>
          </w:p>
          <w:p w14:paraId="3C3A47A5">
            <w:r>
              <w:rPr>
                <w:rFonts w:hint="eastAsia"/>
              </w:rPr>
              <w:t>海洋王</w:t>
            </w:r>
          </w:p>
          <w:p w14:paraId="5FC6924A">
            <w:r>
              <w:rPr>
                <w:rFonts w:hint="eastAsia"/>
              </w:rPr>
              <w:t>玛斯柯</w:t>
            </w:r>
          </w:p>
        </w:tc>
        <w:tc>
          <w:tcPr>
            <w:tcW w:w="6043" w:type="dxa"/>
            <w:tcMar>
              <w:top w:w="15" w:type="dxa"/>
              <w:left w:w="15" w:type="dxa"/>
              <w:right w:w="15" w:type="dxa"/>
            </w:tcMar>
            <w:vAlign w:val="center"/>
          </w:tcPr>
          <w:p w14:paraId="3FDC06F3">
            <w:r>
              <w:rPr>
                <w:rFonts w:hint="eastAsia"/>
              </w:rPr>
              <w:t>一、灯具品牌</w:t>
            </w:r>
          </w:p>
          <w:p w14:paraId="77037988">
            <w:r>
              <w:t>1</w:t>
            </w:r>
            <w:r>
              <w:rPr>
                <w:rFonts w:hint="eastAsia"/>
              </w:rPr>
              <w:t>.“飞利浦”为“昕诺飞</w:t>
            </w:r>
            <w:r>
              <w:t>(中国)投资有限公司” 品牌</w:t>
            </w:r>
            <w:r>
              <w:rPr>
                <w:rFonts w:hint="eastAsia"/>
              </w:rPr>
              <w:t>。</w:t>
            </w:r>
          </w:p>
          <w:p w14:paraId="53D5AD48">
            <w:r>
              <w:t>2</w:t>
            </w:r>
            <w:r>
              <w:rPr>
                <w:rFonts w:hint="eastAsia"/>
              </w:rPr>
              <w:t>.“赛倍明”为“上海赛倍明照明科技有限公司”品牌</w:t>
            </w:r>
            <w:r>
              <w:t>。</w:t>
            </w:r>
          </w:p>
          <w:p w14:paraId="094B03AE">
            <w:r>
              <w:t>3</w:t>
            </w:r>
            <w:r>
              <w:rPr>
                <w:rFonts w:hint="eastAsia"/>
              </w:rPr>
              <w:t>.“海洋王”为“</w:t>
            </w:r>
            <w:r>
              <w:t>深圳市海洋王照明工程有限公司</w:t>
            </w:r>
            <w:r>
              <w:rPr>
                <w:rFonts w:hint="eastAsia"/>
              </w:rPr>
              <w:t>”品牌。</w:t>
            </w:r>
          </w:p>
          <w:p w14:paraId="784EBACE">
            <w:r>
              <w:t>4</w:t>
            </w:r>
            <w:r>
              <w:rPr>
                <w:rFonts w:hint="eastAsia"/>
              </w:rPr>
              <w:t>.“玛斯柯”为“玛斯柯照明设备(上海)有限公司”品牌</w:t>
            </w:r>
            <w:r>
              <w:t>。</w:t>
            </w:r>
          </w:p>
          <w:p w14:paraId="17A5CA22">
            <w:bookmarkStart w:id="13" w:name="OLE_LINK4"/>
            <w:bookmarkStart w:id="14" w:name="OLE_LINK14"/>
            <w:r>
              <w:rPr>
                <w:rFonts w:hint="eastAsia"/>
              </w:rPr>
              <w:t>二、灯头（具）参数要求</w:t>
            </w:r>
          </w:p>
          <w:p w14:paraId="4E483E9C">
            <w:r>
              <w:rPr>
                <w:rFonts w:hint="eastAsia"/>
              </w:rPr>
              <w:t>1、功率：400w，电压：220V-50</w:t>
            </w:r>
            <w:r>
              <w:t xml:space="preserve"> Hz</w:t>
            </w:r>
            <w:r>
              <w:rPr>
                <w:rFonts w:hint="eastAsia"/>
              </w:rPr>
              <w:t>、功率因数：0.9</w:t>
            </w:r>
            <w:r>
              <w:t>5</w:t>
            </w:r>
            <w:r>
              <w:rPr>
                <w:rFonts w:hint="eastAsia"/>
              </w:rPr>
              <w:t>、光通量55000lm,芯片寿命≥10万小时、显指≥80、防护等级（防水防尘）：IP66；</w:t>
            </w:r>
          </w:p>
          <w:p w14:paraId="691EB3D5">
            <w:r>
              <w:t>2</w:t>
            </w:r>
            <w:r>
              <w:rPr>
                <w:rFonts w:hint="eastAsia"/>
              </w:rPr>
              <w:t>、灯具满足吸顶式、侧壁式、座式等多种安装方式；</w:t>
            </w:r>
          </w:p>
          <w:p w14:paraId="59E5EE29">
            <w:r>
              <w:t>3</w:t>
            </w:r>
            <w:r>
              <w:rPr>
                <w:rFonts w:hint="eastAsia"/>
              </w:rPr>
              <w:t>、灯具具有防眩格栅（或罩）、防眩透镜、截光设计、漫反射防眩等常规防眩措施；</w:t>
            </w:r>
          </w:p>
          <w:p w14:paraId="2B689D51">
            <w:r>
              <w:t>4</w:t>
            </w:r>
            <w:r>
              <w:rPr>
                <w:rFonts w:hint="eastAsia"/>
              </w:rPr>
              <w:t>、灯具电磁兼容性能符合规范要求，无电磁干扰；</w:t>
            </w:r>
          </w:p>
          <w:p w14:paraId="6767E48C">
            <w:r>
              <w:t>5</w:t>
            </w:r>
            <w:r>
              <w:rPr>
                <w:rFonts w:hint="eastAsia"/>
              </w:rPr>
              <w:t>、灯具防触电保护类别I类， 灯具防水等级 IP66，为保障供电及照明系统运行效率，灯具的功率因数不低于0.9</w:t>
            </w:r>
            <w:r>
              <w:t>5</w:t>
            </w:r>
            <w:r>
              <w:rPr>
                <w:rFonts w:hint="eastAsia"/>
              </w:rPr>
              <w:t>，LED灯具具有0-10V调整光源功率的功能，满足不同照度的使用需求，灯具外壳采用高导热型材铝压铸而成，内外采用喷涂处理，灯具能在环境温度-20℃到40℃正常工作；</w:t>
            </w:r>
          </w:p>
          <w:p w14:paraId="17B7AA93">
            <w:r>
              <w:t>6</w:t>
            </w:r>
            <w:r>
              <w:rPr>
                <w:rFonts w:hint="eastAsia"/>
              </w:rPr>
              <w:t>、灯具流明维持率不低于</w:t>
            </w:r>
            <w:r>
              <w:t>10万小时</w:t>
            </w:r>
            <w:r>
              <w:rPr>
                <w:rFonts w:hint="eastAsia"/>
              </w:rPr>
              <w:t>；</w:t>
            </w:r>
          </w:p>
          <w:p w14:paraId="7C178976">
            <w:r>
              <w:t>7</w:t>
            </w:r>
            <w:r>
              <w:rPr>
                <w:rFonts w:hint="eastAsia"/>
              </w:rPr>
              <w:t>、灯具光源采用SMD方式进行封装，色温要求：6000K≥Tcp≥5000K，灯具光效≥125 lm/w，色容差≤</w:t>
            </w:r>
            <w:r>
              <w:t>5</w:t>
            </w:r>
            <w:r>
              <w:rPr>
                <w:rFonts w:hint="eastAsia"/>
              </w:rPr>
              <w:t>；</w:t>
            </w:r>
          </w:p>
          <w:p w14:paraId="2E017FAF">
            <w:r>
              <w:t>8</w:t>
            </w:r>
            <w:r>
              <w:rPr>
                <w:rFonts w:hint="eastAsia"/>
              </w:rPr>
              <w:t>、为保证灯具为原厂封装正品，须提供“生产企业名称及生产地址”为灯具制造商自有工厂相关信息的</w:t>
            </w:r>
            <w:r>
              <w:t>CQC产品认证证书作为证明资料</w:t>
            </w:r>
            <w:r>
              <w:rPr>
                <w:rFonts w:hint="eastAsia"/>
              </w:rPr>
              <w:t>。</w:t>
            </w:r>
          </w:p>
          <w:p w14:paraId="7D653474">
            <w:r>
              <w:t>9</w:t>
            </w:r>
            <w:r>
              <w:rPr>
                <w:rFonts w:hint="eastAsia"/>
              </w:rPr>
              <w:t>、灯具需要有刻度盘，满足上下，前后左右调试，保证场地均匀度。</w:t>
            </w:r>
            <w:bookmarkEnd w:id="13"/>
          </w:p>
          <w:p w14:paraId="3FBFD5CD">
            <w:r>
              <w:rPr>
                <w:rFonts w:hint="eastAsia"/>
              </w:rPr>
              <w:t>1</w:t>
            </w:r>
            <w:r>
              <w:t>0</w:t>
            </w:r>
            <w:r>
              <w:rPr>
                <w:rFonts w:hint="eastAsia"/>
              </w:rPr>
              <w:t>、以上参数须</w:t>
            </w:r>
            <w:bookmarkStart w:id="15" w:name="OLE_LINK13"/>
            <w:r>
              <w:rPr>
                <w:rFonts w:hint="eastAsia"/>
              </w:rPr>
              <w:t>满足“健身、业余训练”的使用功能要求</w:t>
            </w:r>
            <w:bookmarkEnd w:id="15"/>
            <w:r>
              <w:rPr>
                <w:rFonts w:hint="eastAsia"/>
              </w:rPr>
              <w:t>。</w:t>
            </w:r>
            <w:bookmarkEnd w:id="14"/>
          </w:p>
        </w:tc>
      </w:tr>
    </w:tbl>
    <w:p w14:paraId="7F52F244">
      <w:pPr>
        <w:spacing w:line="360" w:lineRule="auto"/>
        <w:rPr>
          <w:bCs/>
          <w:color w:val="000000"/>
          <w:sz w:val="24"/>
        </w:rPr>
      </w:pPr>
      <w:r>
        <w:rPr>
          <w:rFonts w:hint="eastAsia"/>
          <w:bCs/>
          <w:color w:val="000000"/>
          <w:sz w:val="24"/>
        </w:rPr>
        <w:t xml:space="preserve">注：1、同一种材料/设备原则上选用同一品牌；材料/设备需要选用两个及以上推荐品牌的，采购前要经招标人同意。 </w:t>
      </w:r>
    </w:p>
    <w:p w14:paraId="2C250EFE">
      <w:pPr>
        <w:spacing w:line="360" w:lineRule="auto"/>
        <w:rPr>
          <w:bCs/>
          <w:color w:val="000000"/>
          <w:sz w:val="24"/>
        </w:rPr>
      </w:pPr>
      <w:r>
        <w:rPr>
          <w:rFonts w:hint="eastAsia"/>
          <w:bCs/>
          <w:color w:val="000000"/>
          <w:sz w:val="24"/>
        </w:rPr>
        <w:t xml:space="preserve">2、施工期间有下列特殊情况发生的，经招标人同意后，中标人可以选择与推荐品牌相同档次的其他品牌，但价格不作调整：①中标人发现材料/设备中有特殊规格，招标人推荐的品牌厂家均不生产的。②中标人发现招标人推荐品牌的材料/设备市场供应不足，均无法满足工程施工进度要求的。 </w:t>
      </w:r>
    </w:p>
    <w:p w14:paraId="24BCFC85">
      <w:pPr>
        <w:spacing w:line="360" w:lineRule="auto"/>
        <w:rPr>
          <w:bCs/>
          <w:color w:val="000000"/>
          <w:sz w:val="24"/>
        </w:rPr>
      </w:pPr>
      <w:r>
        <w:rPr>
          <w:rFonts w:hint="eastAsia"/>
          <w:bCs/>
          <w:color w:val="000000"/>
          <w:sz w:val="24"/>
        </w:rPr>
        <w:t xml:space="preserve">3、招标人推荐品牌中标后原则上不作修改，若招标人中标后修改推荐品牌的，中标人可要求重新确定材料/设备的单价。 </w:t>
      </w:r>
    </w:p>
    <w:p w14:paraId="0130306B">
      <w:pPr>
        <w:spacing w:line="360" w:lineRule="auto"/>
        <w:rPr>
          <w:bCs/>
          <w:color w:val="000000"/>
          <w:sz w:val="24"/>
        </w:rPr>
      </w:pPr>
      <w:r>
        <w:rPr>
          <w:rFonts w:hint="eastAsia"/>
          <w:bCs/>
          <w:color w:val="000000"/>
          <w:sz w:val="24"/>
        </w:rPr>
        <w:t>4、所有推荐品牌内的材料采购前，需将采购品牌报招标人同意。</w:t>
      </w:r>
    </w:p>
    <w:p w14:paraId="0A7255FF"/>
    <w:sectPr>
      <w:pgSz w:w="12240" w:h="15840"/>
      <w:pgMar w:top="1134" w:right="1080" w:bottom="1134" w:left="1080" w:header="709" w:footer="709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幼圆">
    <w:altName w:val="宋体"/>
    <w:panose1 w:val="02010509060101010101"/>
    <w:charset w:val="86"/>
    <w:family w:val="modern"/>
    <w:pitch w:val="default"/>
    <w:sig w:usb0="00000000" w:usb1="00000000" w:usb2="00000010" w:usb3="00000000" w:csb0="00040000" w:csb1="00000000"/>
  </w:font>
  <w:font w:name="E-HZ9-PK7483a5-Identity-H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H-HT9-PK74820001f26-Identity-H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E-FZ9-PK74836f-Identity-H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E-BZ9-PK748344-Identity-H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3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kyOGY3NWQwYmQ5MTgxMDgyZWNmZDBjMGI1NTVjYmEifQ=="/>
  </w:docVars>
  <w:rsids>
    <w:rsidRoot w:val="00172A27"/>
    <w:rsid w:val="000658E1"/>
    <w:rsid w:val="000826C0"/>
    <w:rsid w:val="000E48B5"/>
    <w:rsid w:val="000F6A7A"/>
    <w:rsid w:val="00172A27"/>
    <w:rsid w:val="001D5B7E"/>
    <w:rsid w:val="001F65C6"/>
    <w:rsid w:val="0025619D"/>
    <w:rsid w:val="00325899"/>
    <w:rsid w:val="00332736"/>
    <w:rsid w:val="003B4016"/>
    <w:rsid w:val="003B5909"/>
    <w:rsid w:val="003C7F86"/>
    <w:rsid w:val="003D30A5"/>
    <w:rsid w:val="003D62B3"/>
    <w:rsid w:val="003E52C8"/>
    <w:rsid w:val="003F1ACD"/>
    <w:rsid w:val="004163C1"/>
    <w:rsid w:val="0042361C"/>
    <w:rsid w:val="0044620A"/>
    <w:rsid w:val="00456614"/>
    <w:rsid w:val="0046224E"/>
    <w:rsid w:val="004631C8"/>
    <w:rsid w:val="00467FA6"/>
    <w:rsid w:val="00473B0C"/>
    <w:rsid w:val="0048682F"/>
    <w:rsid w:val="00494AE8"/>
    <w:rsid w:val="004D04AE"/>
    <w:rsid w:val="0050622E"/>
    <w:rsid w:val="0052767E"/>
    <w:rsid w:val="00533D4A"/>
    <w:rsid w:val="005B2D3F"/>
    <w:rsid w:val="00632500"/>
    <w:rsid w:val="0064663A"/>
    <w:rsid w:val="00650ACD"/>
    <w:rsid w:val="006C2B17"/>
    <w:rsid w:val="006D5E0C"/>
    <w:rsid w:val="006E73E7"/>
    <w:rsid w:val="006F6C92"/>
    <w:rsid w:val="00741339"/>
    <w:rsid w:val="00752278"/>
    <w:rsid w:val="00765110"/>
    <w:rsid w:val="007927E6"/>
    <w:rsid w:val="007A55C3"/>
    <w:rsid w:val="007D162C"/>
    <w:rsid w:val="007D7E69"/>
    <w:rsid w:val="00805602"/>
    <w:rsid w:val="00810B7E"/>
    <w:rsid w:val="00841AB6"/>
    <w:rsid w:val="008508E0"/>
    <w:rsid w:val="00856768"/>
    <w:rsid w:val="00860344"/>
    <w:rsid w:val="008C1ADC"/>
    <w:rsid w:val="008D2AAC"/>
    <w:rsid w:val="008D30D6"/>
    <w:rsid w:val="008F2796"/>
    <w:rsid w:val="009228E0"/>
    <w:rsid w:val="00985852"/>
    <w:rsid w:val="009943A1"/>
    <w:rsid w:val="009C23CD"/>
    <w:rsid w:val="00A103DE"/>
    <w:rsid w:val="00A56EDD"/>
    <w:rsid w:val="00A711EA"/>
    <w:rsid w:val="00AA6B79"/>
    <w:rsid w:val="00AC3A35"/>
    <w:rsid w:val="00B47E9F"/>
    <w:rsid w:val="00BB168E"/>
    <w:rsid w:val="00BE4ED8"/>
    <w:rsid w:val="00BF3619"/>
    <w:rsid w:val="00C13B4C"/>
    <w:rsid w:val="00C239C0"/>
    <w:rsid w:val="00C32BBB"/>
    <w:rsid w:val="00C337A5"/>
    <w:rsid w:val="00C4170A"/>
    <w:rsid w:val="00C7094A"/>
    <w:rsid w:val="00D82C1B"/>
    <w:rsid w:val="00DB1EE4"/>
    <w:rsid w:val="00DB1F06"/>
    <w:rsid w:val="00DC617A"/>
    <w:rsid w:val="00DC71C2"/>
    <w:rsid w:val="00E01365"/>
    <w:rsid w:val="00E655A5"/>
    <w:rsid w:val="00F56CDF"/>
    <w:rsid w:val="00F710DD"/>
    <w:rsid w:val="00F909AC"/>
    <w:rsid w:val="00FA46D3"/>
    <w:rsid w:val="014C36D2"/>
    <w:rsid w:val="01B6221C"/>
    <w:rsid w:val="02150DAB"/>
    <w:rsid w:val="02B250DA"/>
    <w:rsid w:val="02B31C31"/>
    <w:rsid w:val="02D0730E"/>
    <w:rsid w:val="02FE3E7B"/>
    <w:rsid w:val="03451AAA"/>
    <w:rsid w:val="03806F86"/>
    <w:rsid w:val="03CD45E9"/>
    <w:rsid w:val="03DE5A5A"/>
    <w:rsid w:val="04504BAA"/>
    <w:rsid w:val="04730898"/>
    <w:rsid w:val="04E07062"/>
    <w:rsid w:val="04F80D9E"/>
    <w:rsid w:val="051A51B8"/>
    <w:rsid w:val="052F53D3"/>
    <w:rsid w:val="05A36F5B"/>
    <w:rsid w:val="05C869C2"/>
    <w:rsid w:val="064249C6"/>
    <w:rsid w:val="066466EB"/>
    <w:rsid w:val="06DA4BFF"/>
    <w:rsid w:val="07195727"/>
    <w:rsid w:val="07267E44"/>
    <w:rsid w:val="073360BD"/>
    <w:rsid w:val="080F6B2A"/>
    <w:rsid w:val="08183C31"/>
    <w:rsid w:val="082A74C0"/>
    <w:rsid w:val="08670714"/>
    <w:rsid w:val="089A73E5"/>
    <w:rsid w:val="0908640E"/>
    <w:rsid w:val="09316C77"/>
    <w:rsid w:val="0992356F"/>
    <w:rsid w:val="09A63ED3"/>
    <w:rsid w:val="09C63218"/>
    <w:rsid w:val="09D91791"/>
    <w:rsid w:val="0A762E91"/>
    <w:rsid w:val="0B097861"/>
    <w:rsid w:val="0B185CF6"/>
    <w:rsid w:val="0B1F52D6"/>
    <w:rsid w:val="0B4E7969"/>
    <w:rsid w:val="0BA31A63"/>
    <w:rsid w:val="0BCF2858"/>
    <w:rsid w:val="0BDD1094"/>
    <w:rsid w:val="0C032502"/>
    <w:rsid w:val="0C6A432F"/>
    <w:rsid w:val="0C871385"/>
    <w:rsid w:val="0CAA0BCF"/>
    <w:rsid w:val="0CD67C16"/>
    <w:rsid w:val="0D2546FA"/>
    <w:rsid w:val="0D4903E8"/>
    <w:rsid w:val="0D9A50E8"/>
    <w:rsid w:val="0E3C619F"/>
    <w:rsid w:val="0F5F5289"/>
    <w:rsid w:val="0F6239E3"/>
    <w:rsid w:val="0FEB39D9"/>
    <w:rsid w:val="0FFF1232"/>
    <w:rsid w:val="103510F8"/>
    <w:rsid w:val="10725EA8"/>
    <w:rsid w:val="11230F0A"/>
    <w:rsid w:val="117D2D56"/>
    <w:rsid w:val="118B7221"/>
    <w:rsid w:val="127E28E2"/>
    <w:rsid w:val="1290502C"/>
    <w:rsid w:val="130C6140"/>
    <w:rsid w:val="139E0D62"/>
    <w:rsid w:val="13C14DFA"/>
    <w:rsid w:val="13C15241"/>
    <w:rsid w:val="13CA0FE7"/>
    <w:rsid w:val="13CE2FB7"/>
    <w:rsid w:val="13D33102"/>
    <w:rsid w:val="13FF3EF7"/>
    <w:rsid w:val="156758B0"/>
    <w:rsid w:val="15897F1C"/>
    <w:rsid w:val="15A44D56"/>
    <w:rsid w:val="15E60CD8"/>
    <w:rsid w:val="163F4A7E"/>
    <w:rsid w:val="165027E8"/>
    <w:rsid w:val="1663076D"/>
    <w:rsid w:val="167D78EE"/>
    <w:rsid w:val="168A0ABC"/>
    <w:rsid w:val="16A82624"/>
    <w:rsid w:val="16F21AF1"/>
    <w:rsid w:val="172A3039"/>
    <w:rsid w:val="17481711"/>
    <w:rsid w:val="176D73C9"/>
    <w:rsid w:val="17FB49D5"/>
    <w:rsid w:val="180C6BE2"/>
    <w:rsid w:val="18A4506D"/>
    <w:rsid w:val="18C33745"/>
    <w:rsid w:val="18F41B50"/>
    <w:rsid w:val="191C4C03"/>
    <w:rsid w:val="19630A84"/>
    <w:rsid w:val="1A3B37AF"/>
    <w:rsid w:val="1A543565"/>
    <w:rsid w:val="1A6A7BF0"/>
    <w:rsid w:val="1ACF6E5D"/>
    <w:rsid w:val="1BB828BF"/>
    <w:rsid w:val="1BD143CB"/>
    <w:rsid w:val="1C006A5E"/>
    <w:rsid w:val="1C9E0606"/>
    <w:rsid w:val="1D344C11"/>
    <w:rsid w:val="1D7A639C"/>
    <w:rsid w:val="1D7E1FD6"/>
    <w:rsid w:val="1D835251"/>
    <w:rsid w:val="1E026ABD"/>
    <w:rsid w:val="1E472722"/>
    <w:rsid w:val="1E7A2AF8"/>
    <w:rsid w:val="1EA01E32"/>
    <w:rsid w:val="1EAF51B1"/>
    <w:rsid w:val="1ECE699F"/>
    <w:rsid w:val="1FAB1FB4"/>
    <w:rsid w:val="200F101E"/>
    <w:rsid w:val="20193030"/>
    <w:rsid w:val="203942EC"/>
    <w:rsid w:val="20757F3E"/>
    <w:rsid w:val="20CB64A6"/>
    <w:rsid w:val="20DF30E6"/>
    <w:rsid w:val="210E3EF0"/>
    <w:rsid w:val="21794B1A"/>
    <w:rsid w:val="21B24356"/>
    <w:rsid w:val="223372F6"/>
    <w:rsid w:val="23386ADD"/>
    <w:rsid w:val="236B6EB3"/>
    <w:rsid w:val="24294678"/>
    <w:rsid w:val="246B6A3F"/>
    <w:rsid w:val="24A81A41"/>
    <w:rsid w:val="250F1AC0"/>
    <w:rsid w:val="25C64874"/>
    <w:rsid w:val="26301CEE"/>
    <w:rsid w:val="267B3E13"/>
    <w:rsid w:val="26DC63AD"/>
    <w:rsid w:val="276714CE"/>
    <w:rsid w:val="279A1B15"/>
    <w:rsid w:val="27F356C9"/>
    <w:rsid w:val="28341F69"/>
    <w:rsid w:val="28A765AC"/>
    <w:rsid w:val="28D659CC"/>
    <w:rsid w:val="28FE4325"/>
    <w:rsid w:val="29211DC2"/>
    <w:rsid w:val="2927562A"/>
    <w:rsid w:val="29424212"/>
    <w:rsid w:val="296F32EF"/>
    <w:rsid w:val="2A570191"/>
    <w:rsid w:val="2A68414C"/>
    <w:rsid w:val="2AEB2687"/>
    <w:rsid w:val="2B3B53BD"/>
    <w:rsid w:val="2B5B5A5F"/>
    <w:rsid w:val="2B5D17D7"/>
    <w:rsid w:val="2C0F5A57"/>
    <w:rsid w:val="2C77062D"/>
    <w:rsid w:val="2C7843EE"/>
    <w:rsid w:val="2CB74F17"/>
    <w:rsid w:val="2D3E1A59"/>
    <w:rsid w:val="2D652BC5"/>
    <w:rsid w:val="2DAF456B"/>
    <w:rsid w:val="2DCA0C7A"/>
    <w:rsid w:val="2E81758A"/>
    <w:rsid w:val="2E9372BE"/>
    <w:rsid w:val="2FD01792"/>
    <w:rsid w:val="2FE57FED"/>
    <w:rsid w:val="2FEE5C1B"/>
    <w:rsid w:val="309D61D2"/>
    <w:rsid w:val="30C47C02"/>
    <w:rsid w:val="314C4590"/>
    <w:rsid w:val="31A57DFE"/>
    <w:rsid w:val="3231178B"/>
    <w:rsid w:val="324E1E79"/>
    <w:rsid w:val="32B51EF8"/>
    <w:rsid w:val="32C4213C"/>
    <w:rsid w:val="33150BE9"/>
    <w:rsid w:val="33182487"/>
    <w:rsid w:val="33ED121E"/>
    <w:rsid w:val="340A6274"/>
    <w:rsid w:val="34CA155F"/>
    <w:rsid w:val="35A3146B"/>
    <w:rsid w:val="35AB1391"/>
    <w:rsid w:val="362178A5"/>
    <w:rsid w:val="362F3D70"/>
    <w:rsid w:val="36435A6D"/>
    <w:rsid w:val="364F36D9"/>
    <w:rsid w:val="36B3674F"/>
    <w:rsid w:val="375515B4"/>
    <w:rsid w:val="37645C9B"/>
    <w:rsid w:val="37695060"/>
    <w:rsid w:val="382316B2"/>
    <w:rsid w:val="38E01351"/>
    <w:rsid w:val="3986639D"/>
    <w:rsid w:val="398A5887"/>
    <w:rsid w:val="39900FC9"/>
    <w:rsid w:val="39D0586A"/>
    <w:rsid w:val="39FC21BB"/>
    <w:rsid w:val="3A361B71"/>
    <w:rsid w:val="3A43101D"/>
    <w:rsid w:val="3A704957"/>
    <w:rsid w:val="3AC32CD9"/>
    <w:rsid w:val="3AE1278B"/>
    <w:rsid w:val="3B1654FE"/>
    <w:rsid w:val="3B1672AC"/>
    <w:rsid w:val="3BC60CD2"/>
    <w:rsid w:val="3CE8111C"/>
    <w:rsid w:val="3CEF6007"/>
    <w:rsid w:val="3D09356D"/>
    <w:rsid w:val="3D211F38"/>
    <w:rsid w:val="3D5B544A"/>
    <w:rsid w:val="3D6C76C2"/>
    <w:rsid w:val="3DBB413B"/>
    <w:rsid w:val="3DC41242"/>
    <w:rsid w:val="3DE25B6C"/>
    <w:rsid w:val="3E197BF0"/>
    <w:rsid w:val="3E3D2DA2"/>
    <w:rsid w:val="3E9055C8"/>
    <w:rsid w:val="3F2226C4"/>
    <w:rsid w:val="40153FD6"/>
    <w:rsid w:val="40181D19"/>
    <w:rsid w:val="407C4056"/>
    <w:rsid w:val="40C929AF"/>
    <w:rsid w:val="410A7FAC"/>
    <w:rsid w:val="410B4D57"/>
    <w:rsid w:val="41784401"/>
    <w:rsid w:val="42156510"/>
    <w:rsid w:val="423B584A"/>
    <w:rsid w:val="433B01F8"/>
    <w:rsid w:val="43A833B4"/>
    <w:rsid w:val="444C3D3F"/>
    <w:rsid w:val="44531571"/>
    <w:rsid w:val="45303661"/>
    <w:rsid w:val="45365EDE"/>
    <w:rsid w:val="45A97322"/>
    <w:rsid w:val="47023367"/>
    <w:rsid w:val="478F466E"/>
    <w:rsid w:val="47D209FF"/>
    <w:rsid w:val="48D10CB7"/>
    <w:rsid w:val="490525B3"/>
    <w:rsid w:val="493279A7"/>
    <w:rsid w:val="495A0CAC"/>
    <w:rsid w:val="49891591"/>
    <w:rsid w:val="499F2B63"/>
    <w:rsid w:val="4A653DAC"/>
    <w:rsid w:val="4AB83EDC"/>
    <w:rsid w:val="4BBA1ED6"/>
    <w:rsid w:val="4C60482B"/>
    <w:rsid w:val="4C6A38FC"/>
    <w:rsid w:val="4C9879E2"/>
    <w:rsid w:val="4CBB4158"/>
    <w:rsid w:val="4CC0176E"/>
    <w:rsid w:val="4CC767D0"/>
    <w:rsid w:val="4D155616"/>
    <w:rsid w:val="4D6F337F"/>
    <w:rsid w:val="4D897DB2"/>
    <w:rsid w:val="4D9D560B"/>
    <w:rsid w:val="4DA40771"/>
    <w:rsid w:val="4DF27705"/>
    <w:rsid w:val="4E05500A"/>
    <w:rsid w:val="4E143B1F"/>
    <w:rsid w:val="4E4D2D10"/>
    <w:rsid w:val="4E6170BF"/>
    <w:rsid w:val="4E630603"/>
    <w:rsid w:val="4ED2501F"/>
    <w:rsid w:val="4EE00F2E"/>
    <w:rsid w:val="4F2A2745"/>
    <w:rsid w:val="4F334479"/>
    <w:rsid w:val="4F530D5B"/>
    <w:rsid w:val="4F9273F2"/>
    <w:rsid w:val="50237869"/>
    <w:rsid w:val="511B6F73"/>
    <w:rsid w:val="511D2CEB"/>
    <w:rsid w:val="52357132"/>
    <w:rsid w:val="5253273C"/>
    <w:rsid w:val="531C0C1D"/>
    <w:rsid w:val="545259A4"/>
    <w:rsid w:val="54A33A4B"/>
    <w:rsid w:val="55043FA3"/>
    <w:rsid w:val="55DE5AB3"/>
    <w:rsid w:val="55F52488"/>
    <w:rsid w:val="560501F2"/>
    <w:rsid w:val="5627460C"/>
    <w:rsid w:val="568A5F56"/>
    <w:rsid w:val="5697353F"/>
    <w:rsid w:val="56DC0F52"/>
    <w:rsid w:val="57F81DBC"/>
    <w:rsid w:val="580E5A83"/>
    <w:rsid w:val="5846521D"/>
    <w:rsid w:val="58670CF0"/>
    <w:rsid w:val="5886386C"/>
    <w:rsid w:val="58874450"/>
    <w:rsid w:val="58A321E2"/>
    <w:rsid w:val="58D61F3C"/>
    <w:rsid w:val="58F44C79"/>
    <w:rsid w:val="59836958"/>
    <w:rsid w:val="5A0507C0"/>
    <w:rsid w:val="5A4A765E"/>
    <w:rsid w:val="5AD747AA"/>
    <w:rsid w:val="5AEB3E5A"/>
    <w:rsid w:val="5AF745AD"/>
    <w:rsid w:val="5AFC6067"/>
    <w:rsid w:val="5B7E082A"/>
    <w:rsid w:val="5B8F6EDB"/>
    <w:rsid w:val="5BA04C44"/>
    <w:rsid w:val="5C191AE4"/>
    <w:rsid w:val="5C814A76"/>
    <w:rsid w:val="5C974299"/>
    <w:rsid w:val="5CDF36F4"/>
    <w:rsid w:val="5CFC3687"/>
    <w:rsid w:val="5DE828D3"/>
    <w:rsid w:val="5EAF3C67"/>
    <w:rsid w:val="5EFB03E4"/>
    <w:rsid w:val="5F047298"/>
    <w:rsid w:val="5F230066"/>
    <w:rsid w:val="5F532351"/>
    <w:rsid w:val="5F5E6844"/>
    <w:rsid w:val="5F733A71"/>
    <w:rsid w:val="5F7F2DC3"/>
    <w:rsid w:val="5F99391F"/>
    <w:rsid w:val="5FB24F46"/>
    <w:rsid w:val="5FE41E12"/>
    <w:rsid w:val="601B6F8F"/>
    <w:rsid w:val="606326E4"/>
    <w:rsid w:val="60A9459B"/>
    <w:rsid w:val="61271964"/>
    <w:rsid w:val="61412A26"/>
    <w:rsid w:val="615A5895"/>
    <w:rsid w:val="616109D2"/>
    <w:rsid w:val="61842912"/>
    <w:rsid w:val="623D250E"/>
    <w:rsid w:val="62997D6C"/>
    <w:rsid w:val="63442359"/>
    <w:rsid w:val="638135AD"/>
    <w:rsid w:val="638E5CCA"/>
    <w:rsid w:val="63E0333E"/>
    <w:rsid w:val="646F3406"/>
    <w:rsid w:val="65D025CA"/>
    <w:rsid w:val="65DA0D53"/>
    <w:rsid w:val="66270365"/>
    <w:rsid w:val="665E3732"/>
    <w:rsid w:val="66AD290B"/>
    <w:rsid w:val="671D183F"/>
    <w:rsid w:val="6727446C"/>
    <w:rsid w:val="67902B50"/>
    <w:rsid w:val="67A5598E"/>
    <w:rsid w:val="67F61980"/>
    <w:rsid w:val="681B1DFE"/>
    <w:rsid w:val="689D73CB"/>
    <w:rsid w:val="68B43ADD"/>
    <w:rsid w:val="68CD1043"/>
    <w:rsid w:val="68F92DBF"/>
    <w:rsid w:val="68FB5BB0"/>
    <w:rsid w:val="6953779A"/>
    <w:rsid w:val="6962178B"/>
    <w:rsid w:val="69E76134"/>
    <w:rsid w:val="6A072332"/>
    <w:rsid w:val="6A707ED8"/>
    <w:rsid w:val="6AA3205B"/>
    <w:rsid w:val="6AB75B07"/>
    <w:rsid w:val="6B337557"/>
    <w:rsid w:val="6B376C47"/>
    <w:rsid w:val="6C3D028D"/>
    <w:rsid w:val="6C3D64DF"/>
    <w:rsid w:val="6C4038DA"/>
    <w:rsid w:val="6C5A0E3F"/>
    <w:rsid w:val="6C671AA7"/>
    <w:rsid w:val="6C860D49"/>
    <w:rsid w:val="6CBE13CE"/>
    <w:rsid w:val="6D1C60F5"/>
    <w:rsid w:val="6D476F3B"/>
    <w:rsid w:val="6D605FE2"/>
    <w:rsid w:val="6DB625B9"/>
    <w:rsid w:val="6DEA7FA1"/>
    <w:rsid w:val="6E1312A6"/>
    <w:rsid w:val="6E5F098F"/>
    <w:rsid w:val="6EFF5CCE"/>
    <w:rsid w:val="6F811819"/>
    <w:rsid w:val="6F9F6319"/>
    <w:rsid w:val="6FD35191"/>
    <w:rsid w:val="70C6522A"/>
    <w:rsid w:val="70EF2996"/>
    <w:rsid w:val="7101188A"/>
    <w:rsid w:val="717F3ECA"/>
    <w:rsid w:val="71C823A7"/>
    <w:rsid w:val="71FE226D"/>
    <w:rsid w:val="720D425E"/>
    <w:rsid w:val="721B7812"/>
    <w:rsid w:val="72C40DC1"/>
    <w:rsid w:val="73D634A1"/>
    <w:rsid w:val="73E32748"/>
    <w:rsid w:val="74335059"/>
    <w:rsid w:val="74820899"/>
    <w:rsid w:val="74C94DB4"/>
    <w:rsid w:val="75B3511C"/>
    <w:rsid w:val="75BC66C7"/>
    <w:rsid w:val="75F145C2"/>
    <w:rsid w:val="76164029"/>
    <w:rsid w:val="766703E1"/>
    <w:rsid w:val="76C06287"/>
    <w:rsid w:val="76D65566"/>
    <w:rsid w:val="76DC282B"/>
    <w:rsid w:val="76F0487A"/>
    <w:rsid w:val="76F93003"/>
    <w:rsid w:val="776B2153"/>
    <w:rsid w:val="779D3ACF"/>
    <w:rsid w:val="77A45665"/>
    <w:rsid w:val="77F739E6"/>
    <w:rsid w:val="7840538D"/>
    <w:rsid w:val="784D1858"/>
    <w:rsid w:val="7880578A"/>
    <w:rsid w:val="78AA6CAB"/>
    <w:rsid w:val="79EB757B"/>
    <w:rsid w:val="79F226B7"/>
    <w:rsid w:val="7A2B5BC9"/>
    <w:rsid w:val="7ABC4A73"/>
    <w:rsid w:val="7AD149C3"/>
    <w:rsid w:val="7B6E2211"/>
    <w:rsid w:val="7B845591"/>
    <w:rsid w:val="7BDA3403"/>
    <w:rsid w:val="7C413482"/>
    <w:rsid w:val="7CA76A30"/>
    <w:rsid w:val="7CAF2AE1"/>
    <w:rsid w:val="7CF256C0"/>
    <w:rsid w:val="7CFD1A9F"/>
    <w:rsid w:val="7D133070"/>
    <w:rsid w:val="7D8819B8"/>
    <w:rsid w:val="7DB561F2"/>
    <w:rsid w:val="7DDA1DE0"/>
    <w:rsid w:val="7E9D0B35"/>
    <w:rsid w:val="7FD2372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qFormat="1"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qFormat="1" w:unhideWhenUsed="0" w:uiPriority="0" w:semiHidden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jc w:val="both"/>
      <w:textAlignment w:val="center"/>
    </w:pPr>
    <w:rPr>
      <w:rFonts w:ascii="宋体" w:hAnsi="宋体" w:eastAsia="宋体" w:cs="宋体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autoRedefine/>
    <w:qFormat/>
    <w:uiPriority w:val="0"/>
    <w:pPr>
      <w:outlineLvl w:val="1"/>
    </w:pPr>
    <w:rPr>
      <w:sz w:val="30"/>
    </w:rPr>
  </w:style>
  <w:style w:type="character" w:default="1" w:styleId="13">
    <w:name w:val="Default Paragraph Font"/>
    <w:semiHidden/>
    <w:unhideWhenUsed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Document Map"/>
    <w:basedOn w:val="1"/>
    <w:link w:val="19"/>
    <w:qFormat/>
    <w:uiPriority w:val="0"/>
    <w:rPr>
      <w:sz w:val="18"/>
      <w:szCs w:val="18"/>
    </w:rPr>
  </w:style>
  <w:style w:type="paragraph" w:styleId="5">
    <w:name w:val="Body Text"/>
    <w:basedOn w:val="1"/>
    <w:link w:val="22"/>
    <w:qFormat/>
    <w:uiPriority w:val="0"/>
    <w:pPr>
      <w:spacing w:after="120"/>
    </w:pPr>
  </w:style>
  <w:style w:type="paragraph" w:styleId="6">
    <w:name w:val="Block Text"/>
    <w:basedOn w:val="1"/>
    <w:qFormat/>
    <w:uiPriority w:val="0"/>
    <w:pPr>
      <w:ind w:left="1200" w:right="-72" w:hanging="30"/>
    </w:pPr>
    <w:rPr>
      <w:rFonts w:ascii="Arial" w:hAnsi="Arial" w:eastAsia="幼圆" w:cs="Arial"/>
      <w:sz w:val="22"/>
    </w:rPr>
  </w:style>
  <w:style w:type="paragraph" w:styleId="7">
    <w:name w:val="Balloon Text"/>
    <w:basedOn w:val="1"/>
    <w:link w:val="20"/>
    <w:qFormat/>
    <w:uiPriority w:val="0"/>
    <w:rPr>
      <w:sz w:val="18"/>
      <w:szCs w:val="18"/>
    </w:rPr>
  </w:style>
  <w:style w:type="paragraph" w:styleId="8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footnote text"/>
    <w:basedOn w:val="1"/>
    <w:link w:val="28"/>
    <w:semiHidden/>
    <w:unhideWhenUsed/>
    <w:uiPriority w:val="0"/>
    <w:pPr>
      <w:snapToGrid w:val="0"/>
      <w:jc w:val="left"/>
    </w:pPr>
    <w:rPr>
      <w:sz w:val="18"/>
      <w:szCs w:val="18"/>
    </w:rPr>
  </w:style>
  <w:style w:type="paragraph" w:styleId="11">
    <w:name w:val="Body Text First Indent"/>
    <w:basedOn w:val="5"/>
    <w:link w:val="23"/>
    <w:qFormat/>
    <w:uiPriority w:val="0"/>
    <w:pPr>
      <w:ind w:firstLine="420" w:firstLineChars="100"/>
    </w:pPr>
  </w:style>
  <w:style w:type="character" w:styleId="14">
    <w:name w:val="Strong"/>
    <w:basedOn w:val="13"/>
    <w:qFormat/>
    <w:uiPriority w:val="0"/>
    <w:rPr>
      <w:b/>
    </w:rPr>
  </w:style>
  <w:style w:type="character" w:styleId="15">
    <w:name w:val="Emphasis"/>
    <w:basedOn w:val="13"/>
    <w:qFormat/>
    <w:uiPriority w:val="0"/>
    <w:rPr>
      <w:i/>
    </w:rPr>
  </w:style>
  <w:style w:type="character" w:styleId="16">
    <w:name w:val="footnote reference"/>
    <w:basedOn w:val="13"/>
    <w:semiHidden/>
    <w:unhideWhenUsed/>
    <w:uiPriority w:val="0"/>
    <w:rPr>
      <w:vertAlign w:val="superscript"/>
    </w:rPr>
  </w:style>
  <w:style w:type="character" w:customStyle="1" w:styleId="17">
    <w:name w:val="font91"/>
    <w:basedOn w:val="13"/>
    <w:autoRedefine/>
    <w:qFormat/>
    <w:uiPriority w:val="99"/>
    <w:rPr>
      <w:rFonts w:ascii="宋体" w:hAnsi="宋体" w:eastAsia="宋体" w:cs="宋体"/>
      <w:color w:val="002060"/>
      <w:sz w:val="20"/>
      <w:szCs w:val="20"/>
      <w:u w:val="none"/>
    </w:rPr>
  </w:style>
  <w:style w:type="character" w:customStyle="1" w:styleId="18">
    <w:name w:val="font01"/>
    <w:basedOn w:val="13"/>
    <w:autoRedefine/>
    <w:qFormat/>
    <w:uiPriority w:val="99"/>
    <w:rPr>
      <w:rFonts w:ascii="宋体" w:hAnsi="宋体" w:eastAsia="宋体" w:cs="宋体"/>
      <w:color w:val="003366"/>
      <w:sz w:val="20"/>
      <w:szCs w:val="20"/>
      <w:u w:val="none"/>
    </w:rPr>
  </w:style>
  <w:style w:type="character" w:customStyle="1" w:styleId="19">
    <w:name w:val="文档结构图 字符"/>
    <w:basedOn w:val="13"/>
    <w:link w:val="4"/>
    <w:qFormat/>
    <w:uiPriority w:val="0"/>
    <w:rPr>
      <w:rFonts w:ascii="宋体"/>
      <w:kern w:val="2"/>
      <w:sz w:val="18"/>
      <w:szCs w:val="18"/>
    </w:rPr>
  </w:style>
  <w:style w:type="character" w:customStyle="1" w:styleId="20">
    <w:name w:val="批注框文本 字符"/>
    <w:basedOn w:val="13"/>
    <w:link w:val="7"/>
    <w:uiPriority w:val="0"/>
    <w:rPr>
      <w:kern w:val="2"/>
      <w:sz w:val="18"/>
      <w:szCs w:val="18"/>
    </w:rPr>
  </w:style>
  <w:style w:type="character" w:customStyle="1" w:styleId="21">
    <w:name w:val="标题 1 字符"/>
    <w:basedOn w:val="13"/>
    <w:link w:val="2"/>
    <w:qFormat/>
    <w:uiPriority w:val="0"/>
    <w:rPr>
      <w:b/>
      <w:bCs/>
      <w:kern w:val="44"/>
      <w:sz w:val="44"/>
      <w:szCs w:val="44"/>
    </w:rPr>
  </w:style>
  <w:style w:type="character" w:customStyle="1" w:styleId="22">
    <w:name w:val="正文文本 字符"/>
    <w:basedOn w:val="13"/>
    <w:link w:val="5"/>
    <w:uiPriority w:val="0"/>
    <w:rPr>
      <w:kern w:val="2"/>
      <w:sz w:val="21"/>
      <w:szCs w:val="24"/>
    </w:rPr>
  </w:style>
  <w:style w:type="character" w:customStyle="1" w:styleId="23">
    <w:name w:val="正文文本首行缩进 字符"/>
    <w:basedOn w:val="22"/>
    <w:link w:val="11"/>
    <w:qFormat/>
    <w:uiPriority w:val="0"/>
    <w:rPr>
      <w:kern w:val="2"/>
      <w:sz w:val="21"/>
      <w:szCs w:val="24"/>
    </w:rPr>
  </w:style>
  <w:style w:type="character" w:customStyle="1" w:styleId="24">
    <w:name w:val="fontstyle01"/>
    <w:basedOn w:val="13"/>
    <w:qFormat/>
    <w:uiPriority w:val="0"/>
    <w:rPr>
      <w:rFonts w:hint="default" w:ascii="E-HZ9-PK7483a5-Identity-H" w:hAnsi="E-HZ9-PK7483a5-Identity-H"/>
      <w:color w:val="000000"/>
      <w:sz w:val="56"/>
      <w:szCs w:val="56"/>
    </w:rPr>
  </w:style>
  <w:style w:type="character" w:customStyle="1" w:styleId="25">
    <w:name w:val="fontstyle11"/>
    <w:basedOn w:val="13"/>
    <w:qFormat/>
    <w:uiPriority w:val="0"/>
    <w:rPr>
      <w:rFonts w:hint="default" w:ascii="H-HT9-PK74820001f26-Identity-H" w:hAnsi="H-HT9-PK74820001f26-Identity-H"/>
      <w:color w:val="000000"/>
      <w:sz w:val="52"/>
      <w:szCs w:val="52"/>
    </w:rPr>
  </w:style>
  <w:style w:type="character" w:customStyle="1" w:styleId="26">
    <w:name w:val="fontstyle21"/>
    <w:basedOn w:val="13"/>
    <w:uiPriority w:val="0"/>
    <w:rPr>
      <w:rFonts w:hint="default" w:ascii="E-FZ9-PK74836f-Identity-H" w:hAnsi="E-FZ9-PK74836f-Identity-H"/>
      <w:color w:val="000000"/>
      <w:sz w:val="56"/>
      <w:szCs w:val="56"/>
    </w:rPr>
  </w:style>
  <w:style w:type="character" w:customStyle="1" w:styleId="27">
    <w:name w:val="fontstyle31"/>
    <w:basedOn w:val="13"/>
    <w:uiPriority w:val="0"/>
    <w:rPr>
      <w:rFonts w:hint="default" w:ascii="E-BZ9-PK748344-Identity-H" w:hAnsi="E-BZ9-PK748344-Identity-H"/>
      <w:color w:val="000000"/>
      <w:sz w:val="56"/>
      <w:szCs w:val="56"/>
    </w:rPr>
  </w:style>
  <w:style w:type="character" w:customStyle="1" w:styleId="28">
    <w:name w:val="脚注文本 字符"/>
    <w:basedOn w:val="13"/>
    <w:link w:val="10"/>
    <w:semiHidden/>
    <w:uiPriority w:val="0"/>
    <w:rPr>
      <w:rFonts w:ascii="宋体" w:hAnsi="宋体" w:cs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1D1711-2448-424A-B428-40AF5D0DC25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1834</Words>
  <Characters>1993</Characters>
  <Lines>15</Lines>
  <Paragraphs>4</Paragraphs>
  <TotalTime>9</TotalTime>
  <ScaleCrop>false</ScaleCrop>
  <LinksUpToDate>false</LinksUpToDate>
  <CharactersWithSpaces>2009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2026-05-26T03:30:00Z</dcterms:created>
  <dc:creator>杰</dc:creator>
  <cp:lastModifiedBy>吴王平</cp:lastModifiedBy>
  <dcterms:modified xsi:type="dcterms:W3CDTF">2026-05-28T07:33:58Z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F13DF51BD9D345BF8A93E8E258C7ED8D_13</vt:lpwstr>
  </property>
  <property fmtid="{D5CDD505-2E9C-101B-9397-08002B2CF9AE}" pid="4" name="KSOTemplateDocerSaveRecord">
    <vt:lpwstr>eyJoZGlkIjoiZjhjZmUzZDczYjk2ZTQ1NmY2ZWY1ZmUzNzZjYmNiN2MiLCJ1c2VySWQiOiI4MjY1ODEyNTYifQ==</vt:lpwstr>
  </property>
</Properties>
</file>